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00D" w:rsidRDefault="0081500D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"/>
        <w:gridCol w:w="10369"/>
        <w:gridCol w:w="220"/>
        <w:gridCol w:w="253"/>
      </w:tblGrid>
      <w:tr w:rsidR="0081500D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86282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1500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81500D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1500D" w:rsidRDefault="00886282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1500D" w:rsidRDefault="0081500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500D" w:rsidRDefault="0081500D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00D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86282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8628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500D" w:rsidRDefault="0081500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500D" w:rsidRDefault="0081500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00D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86282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1500D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500D" w:rsidRDefault="0081500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500D" w:rsidRDefault="0081500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500D" w:rsidRDefault="0088628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1500D" w:rsidRDefault="0081500D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81500D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500D" w:rsidRDefault="00886282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1500D" w:rsidRDefault="00886282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81500D" w:rsidRDefault="0081500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8628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1500D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1500D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1500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81500D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500D" w:rsidRDefault="0081500D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500D" w:rsidRDefault="0081500D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500D" w:rsidRDefault="00886282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81500D" w:rsidRDefault="0081500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0D" w:rsidRDefault="0081500D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Инорм - количество информации, размещение которой на общедоступных информационных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ресурсах установлено законодательными и иными нормативными правовыми актами Российской Федерации (сайт)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ктами Российской Федерации (стенд)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ателями услуг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социальной сферы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пностью информации, размещенной на официальном сайте организации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оциальной сферы комфортных условий предоставления услуг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доставления услуг организацией социальной сферы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ганизации для инвалидов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наравне с другими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 - число получателей услуг-инвалидов, удовлетворенных доступностью услуг для инвалидов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феры, обеспечивающих непосредственное оказание услуги при обращении в организацию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отников организации при использовании дистанционных форм взаимодействия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екомендовать организацию родственникам и знакомым (могли бы ее рекомендовать, если бы была возможность выбора организации)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уг, удовлетворенных организационными условиями предоставления услуг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 в организации социальной сферы</w:t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1500D" w:rsidRDefault="0088628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81500D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  <w:sz w:val="24"/>
          <w:szCs w:val="24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</w:t>
      </w:r>
      <w:r>
        <w:rPr>
          <w:rFonts w:ascii="Times New Roman" w:eastAsia="Times New Roman" w:hAnsi="Times New Roman" w:cs="Times New Roman"/>
          <w:sz w:val="24"/>
          <w:szCs w:val="24"/>
        </w:rPr>
        <w:t>зированной информации рассчитан Sn - итоговый показатель оценки качества организации.</w:t>
      </w:r>
    </w:p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81500D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1500D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81500D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500D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500D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00D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00D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500D" w:rsidRDefault="0088628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81500D" w:rsidRDefault="0081500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</w:t>
      </w:r>
      <w:r>
        <w:rPr>
          <w:rFonts w:ascii="Times New Roman" w:eastAsia="Times New Roman" w:hAnsi="Times New Roman" w:cs="Times New Roman"/>
          <w:sz w:val="24"/>
          <w:szCs w:val="24"/>
        </w:rPr>
        <w:t>й критерий оценки качества «Удовлетворенность условиями оказания услуг»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творенность. </w:t>
      </w:r>
    </w:p>
    <w:p w:rsidR="0081500D" w:rsidRDefault="0081500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1500D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1500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81500D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1500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1500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1500D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500D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1500D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500D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500D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500D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81,04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46,23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88,37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79,89</w:t>
            </w:r>
          </w:p>
        </w:tc>
      </w:tr>
      <w:tr w:rsidR="0081500D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89,02</w:t>
            </w:r>
          </w:p>
        </w:tc>
      </w:tr>
      <w:tr w:rsidR="0081500D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67,80</w:t>
            </w:r>
          </w:p>
        </w:tc>
      </w:tr>
      <w:tr w:rsidR="0081500D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21,22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1500D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"Водник"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СШ "Мещера"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"СШ"Новое Поколение"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"Нижегородец"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СШ "Дворец Спорта Юность"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"СШОР по Самбо и Дзюдо"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85,9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"Сормово" им.Ю.П.Круглова"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№3 по Шахматам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"СШОР № 4 по Волейболу"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№ 5 по Лыжным Гонкам"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82,70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 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№12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73,42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СШОР №13 по Настольному Теннису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№ 15 по Шахматам"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СШОР № 7 по Баскетболу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"Чайка"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"СШ "Радий"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</w:t>
            </w:r>
            <w:r>
              <w:rPr>
                <w:rFonts w:ascii="Times New Roman" w:eastAsia="Times New Roman" w:hAnsi="Times New Roman" w:cs="Times New Roman"/>
              </w:rPr>
              <w:t>СШ по Парусному Спорту"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ДО СШ "Олимп"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№ 1 по Спортивной Гимнастике"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"ДС "Заречье"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КСШОР №1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ДС "Северная Звезда"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"КСШ№1"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КСШ "Надежда"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 17 по Шашкам им. А.Ф. Лазаренко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81500D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 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ВЫВОДЫ И РЕКОМЕНДАЦИИ ПО РЕЗУЛЬТАТАМ СБОРА, ОБОБЩЕНИЯ И АНАЛИЗА ИНФОРМАЦИИ</w:t>
      </w: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81500D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ебуется обеспечить условия: МАОУ ДО "СШ"Новое Поколение"; МБОУ ДО СШ "Сормово" им.Ю.П.Круглова"; МБОУ ДО СШ №3 по Шахматам; МБОУ ДО СШ № 9; МБОУ ДО СШ №12; МБОУ ДО "СШ № 15 по Шахматам"; МБОУ ДО СШОР № 7 по Баскетболу; МБОУ ДО "СШ № 1 по Спортивной Гимнаст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ике"; МБОУ ДО "КСШ№1";</w:t>
            </w:r>
          </w:p>
        </w:tc>
      </w:tr>
      <w:tr w:rsidR="0081500D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МАОУ ДО "СШ"Новое Поколение"; МБОУ ДО СШ №12; МБОУ ДО СШОР № 7 по Баскетболу; МБОУ ДО "СШ № 1 по Спортивной Гимнастике"; МБОУ ДО СШ "ДС "Заречье"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МБОУ ДО СШ ДС "Северная Звезда"; МБОУ ДО "КСШ№1";</w:t>
            </w:r>
          </w:p>
        </w:tc>
      </w:tr>
      <w:tr w:rsidR="0081500D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"Водник"; МАОУ ДО "СШ"Новое Поколение"; МБОУ ДО СШОР № 7 по Баскетболу; МАОУ ДО "СШ "Радий"; МБОУ ДО "СШ № 1 по Спортивной 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настике"; МБОУ ДО КСШ "Надежда";</w:t>
            </w:r>
          </w:p>
        </w:tc>
      </w:tr>
      <w:tr w:rsidR="0081500D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"Сормово" им.Ю.П.Круглова"; МБОУ ДО СШОР № 7 по Баскетболу; МБОУ ДО "СШ № 1 по Спортивной Гимнастике"; МБОУ ДО "КСШ№1";</w:t>
            </w:r>
          </w:p>
        </w:tc>
      </w:tr>
      <w:tr w:rsidR="0081500D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СШОР № 7 по Баскетболу; МБОУ ДО "СШ № 1 по Спортивной Гимнастике"; МБОУ ДО "КСШ№1";</w:t>
            </w:r>
          </w:p>
        </w:tc>
      </w:tr>
    </w:tbl>
    <w:p w:rsidR="0081500D" w:rsidRDefault="0081500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инвалидам получать услуги наравне с другими.*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</w:t>
      </w:r>
      <w:r>
        <w:rPr>
          <w:rFonts w:ascii="Times New Roman" w:eastAsia="Times New Roman" w:hAnsi="Times New Roman" w:cs="Times New Roman"/>
          <w:sz w:val="24"/>
          <w:szCs w:val="24"/>
        </w:rPr>
        <w:t>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81500D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МАОУ ДО СШ "Мещера"; МАОУ ДО СШ "Дворец Спорта Юность"; МБОУ ДО "СШОР по Самбо и Дзюдо"; МБОУ ДО СШ №3 по Шахматам; МАОУ ДО "СШОР № 4 по Волейболу";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"СШ № 5 по Лыжным Гонкам"; МБОУ ДО СШ № 9; МБОУ ДО СШ №12; МБОУ ДО СШОР №13 по Настольному Теннису; МБОУ ДО "СШ № 15 по Шахматам"; МБОУ ДО СШОР № 7 по Баскетболу; МБОУ ДО "СШ по Парусному Спорту"; МБОУ ДО СШ "Олимп"; МБОУ ДО "СШ № 1 по Спортивной 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стике"; МБОУ ДО КСШОР №1; МБОУ ДО КСШ "Надежда"; МБОУ ДО СШ № 17 по Шашкам им. А.Ф. Лазаренко; МБОУ ДО СШ № 2;</w:t>
            </w:r>
          </w:p>
        </w:tc>
      </w:tr>
      <w:tr w:rsidR="0081500D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"Водник"; МАОУ ДО СШ "Мещера"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МАОУ ДО СШ "Дворец Спорта Юность"; МБОУ ДО "СШОР по Самбо и Дзюдо"; МБОУ ДО СШ №3 по Шахматам; МАОУ ДО "СШОР № 4 по Волейболу"; МБОУ ДО "СШ № 5 по Лыжным Гонкам"; МБОУ ДО СШ № 9; МБОУ ДО СШ №12; МБОУ ДО СШОР №13 по Настольному Теннису; МБОУ ДО "СШ № 15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Шахматам"; МБОУ ДО СШОР № 7 по Баскетболу; МБОУ ДО СШ "Чайка"; МБОУ ДО "СШ по Парусному Спорту"; МБОУ ДО СШ "Олимп"; МБОУ ДО "СШ № 1 по Спортивной Гимнастике"; МБОУ ДО КСШОР №1; МБОУ ДО "КСШ№1"; МБОУ ДО КСШ "Надежда"; МБОУ ДО СШ № 17 по Шашкам им. А.Ф.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азаренко; МБОУ ДО СШ № 2;</w:t>
            </w:r>
          </w:p>
        </w:tc>
      </w:tr>
      <w:tr w:rsidR="0081500D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"Водник"; МАОУ ДО СШ "Мещера"; МАОУ ДО "СШ"Новое Поколение"; МБОУ ДО "СШОР по Самбо и Дзюдо"; МБОУ ДО СШ № 9; МБОУ ДО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 №12; МБОУ ДО "СШ № 15 по Шахматам"; МБОУ ДО СШОР № 7 по Баскетболу; МБОУ ДО "СШ № 1 по Спортивной Гимнастике"; МБОУ ДО "КСШ№1"; МБОУ ДО СШ № 2;</w:t>
            </w:r>
          </w:p>
        </w:tc>
      </w:tr>
      <w:tr w:rsidR="0081500D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"Водник"; МАОУ ДО СШ "Мещера"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МАОУ ДО "СШ"Новое Поколение"; МБОУ ДО "СШ "Нижегородец"; МАОУ ДО СШ "Дворец Спорта Юность"; МБОУ ДО "СШОР по Самбо и Дзюдо"; МБОУ ДО СШ №3 по Шахматам; МАОУ ДО "СШОР № 4 по Волейболу"; МБОУ ДО "СШ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5 по Лыжным Гонкам"; МБОУ ДО СШ № 9; МБОУ ДО СШ №12;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СШОР №13 по Настольному Теннису; МБОУ ДО "СШ № 15 по Шахматам"; МБОУ ДО СШОР № 7 по Баскетболу; МБОУ ДО СШ "Чайка"; МАОУ ДО "СШ "Радий"; МБОУ ДО "СШ по Парусному Спорту"; МБОУ ДО СШ "Олимп"; МБОУ ДО "СШ № 1 по Спортивной Гимнастике"; МБОУ ДО СШ "ДС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Заречье"; МБОУ ДО КСШОР №1; МБОУ ДО "КСШ№1"; МБОУ ДО КСШ "Надежда"; МБОУ ДО СШ № 17 по Шашкам им. А.Ф. Лазаренко; МБОУ ДО СШ № 2;</w:t>
            </w:r>
          </w:p>
        </w:tc>
      </w:tr>
      <w:tr w:rsidR="0081500D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дник"; МАОУ ДО СШ "Мещера"; МБОУ ДО "СШ "Нижегородец"; МАОУ ДО СШ "Дворец Спорта Юность"; МБОУ ДО "СШОР по Самбо и Дзюдо"; МБОУ ДО СШ "Сормово" им.Ю.П.Круглова"; МАОУ ДО "СШОР № 4 по Волейболу"; МБОУ ДО "СШ № 5 по Лыжным Гонкам"; МБОУ ДО СШ № 9; МБОУ ДО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№12; МБОУ ДО СШОР №13 по Настольному Теннису; МБОУ ДО "СШ № 15 по Шахматам"; МБОУ ДО СШОР № 7 по Баскетболу; МАОУ ДО "СШ "Радий"; МБОУ ДО "СШ по Парусному Спорту"; МБОУ ДО СШ "Олимп"; МБОУ ДО "СШ № 1 по Спортивной Гимнастике"; МБОУ ДО КСШОР №1; МБОУ ДО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СШ№1"; МБОУ ДО СШ № 17 по Шашкам им. А.Ф. Лазаренко; МБОУ ДО СШ № 2;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81500D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МАОУ ДО СШ "Мещера"; МБОУ ДО "СШ "Нижегородец"; МАОУ ДО СШ "Дворец Спорта Юность"; МБОУ ДО "СШОР по Самбо и Дзюдо"; МБОУ ДО СШ "Сормово" им.Ю.П.Круглова"; МБОУ ДО СШ №3 по Шахматам; МАОУ ДО "СШОР № 4 по Волейболу"; МБОУ ДО "СШ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по Лыжным Гонкам"; МБОУ ДО СШ № 9; МБОУ ДО СШ №12; МБОУ ДО СШОР №13 по Настольному Теннису; МБОУ ДО "СШ № 15 по Шахматам"; МБОУ ДО СШОР № 7 по Баскетболу; МБОУ ДО СШ "Чайка"; МАОУ ДО "СШ "Радий"; МБОУ ДО "СШ по Парусному Спорту"; МБОУ ДО СШ "Олимп";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КСШОР №1; МБОУ ДО СШ ДС "Северная Звезда"; МБОУ ДО "КСШ№1"; МБОУ ДО КСШ "Надежда"; МБОУ ДО СШ № 17 по Шашкам им. А.Ф. Лазаренко; МБОУ ДО СШ № 2;</w:t>
            </w:r>
          </w:p>
        </w:tc>
      </w:tr>
      <w:tr w:rsidR="0081500D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 обеспечить условия: МАОУ ДО СШ "Мещера"; МАОУ ДО "СШ"Новое Поколение"; МБОУ ДО "СШ "Нижегородец"; МАОУ ДО СШ "Дворец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орта Юность"; МБОУ ДО "СШОР по Самбо и Дзюдо"; МБОУ ДО СШ "Сормово" им.Ю.П.Круглова"; МБОУ ДО СШ №3 по Шахматам; МАОУ ДО "СШОР № 4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Волейболу"; МБОУ ДО "СШ № 5 по Лыжным Гонкам"; МБОУ ДО СШ № 9; МБОУ ДО СШ №12; МБОУ ДО СШОР №13 по Настольному Теннису;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"СШ № 15 по Шахматам"; МБОУ ДО СШОР № 7 по Баскетболу; МБОУ ДО СШ "Чайка"; МАОУ ДО "СШ "Радий"; МБОУ ДО "СШ по Парусному Спорту"; МБОУ ДО СШ "Олимп"; МБОУ ДО КСШОР №1; МБОУ ДО СШ ДС "Северная Звезда"; МБОУ ДО "КСШ№1"; МБОУ ДО КСШ "Надежда"; МБОУ ДО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 № 17 по Шашкам им. А.Ф. Лазаренко; МБОУ ДО СШ № 2;</w:t>
            </w:r>
          </w:p>
        </w:tc>
      </w:tr>
      <w:tr w:rsidR="0081500D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"Водник"; МАОУ ДО СШ "Мещера"; МАОУ ДО "СШ"Новое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коление"; МБОУ ДО "СШ "Нижегородец"; МАОУ ДО СШ "Дворец Спорта Юность"; МБОУ ДО "СШОР по Самбо и Дзюдо"; МБОУ ДО СШ "Сормово" им.Ю.П.Круглова"; МБОУ ДО СШ №3 по Шахматам; МАОУ ДО "СШОР № 4 по Волейболу"; МБОУ ДО "СШ № 5 по Лыжным Гонкам"; МБОУ ДО СШ № 9;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ДО СШ №12; МБОУ ДО СШОР №13 по Настольному Теннису; МБОУ ДО "СШ № 15 по Шахматам"; МБОУ ДО СШОР № 7 по Баскетболу; МБОУ ДО СШ "Чайка"; МАОУ ДО "СШ "Радий"; МБОУ ДО "СШ по Парусному Спорту"; МБОУ ДО СШ "Олимп"; МБОУ ДО "СШ № 1 по Спортивной Гимнастике";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ДО СШ "ДС "Заречье"; МБОУ ДО КСШОР №1; МБОУ ДО СШ ДС "Северная Звезда"; МБОУ ДО "КСШ№1"; МБОУ ДО КСШ "Надежда"; МБОУ ДО СШ № 17 по Шашкам им. А.Ф. Лазаренко; МБОУ ДО СШ № 2;</w:t>
            </w:r>
          </w:p>
        </w:tc>
      </w:tr>
      <w:tr w:rsidR="0081500D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ДО СШ "Водник"; МАОУ ДО СШ "Мещера"; МБОУ ДО "СШ "Нижегородец"; МБОУ ДО "СШОР по Самбо и Дзюдо"; МБОУ ДО СШ "Сормово" им.Ю.П.Круглова"; МБОУ ДО СШ №12; МБОУ ДО "СШ № 15 по Шахматам"; МБОУ ДО СШОР № 7 по Баскетболу; МБОУ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СШ "Чайка"; МБОУ ДО "СШ № 1 по Спортивной Гимнастике"; МБОУ ДО СШ № 2;</w:t>
            </w:r>
          </w:p>
        </w:tc>
      </w:tr>
      <w:tr w:rsidR="0081500D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СШ "Водник"; МАОУ ДО СШ "Мещера"; МАОУ ДО "СШ"Новое Поколение"; МБОУ ДО "СШ "Нижегородец"; МАОУ ДО СШ "Дворец Спорта Юность"; МБОУ ДО "СШОР по Самбо и Дзюдо"; МБОУ ДО СШ "Сормово" им.Ю.П.Круглова"; МБОУ ДО СШ №3 по Шахматам; МАОУ ДО "СШОР № 4 по Волейб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олу"; МБОУ ДО "СШ № 5 по Лыжным Гонкам"; МБОУ ДО СШ № 9; МБОУ ДО СШ №12; МБОУ ДО СШОР №13 по Настольному Теннису; МБОУ ДО "СШ № 15 по Шахматам"; МБОУ ДО СШОР № 7 по Баскетболу; МБОУ ДО СШ "Чайка"; МБОУ ДО "СШ по Парусному Спорту"; МБОУ ДО СШ "Олимп";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"СШ № 1 по Спортивной Гимнастике"; МБОУ ДО СШ "ДС "Заречье"; МБОУ ДО КСШОР №1; МБОУ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"КСШ№1"; МБОУ ДО СШ № 17 по Шашкам им. А.Ф. Лазаренко; МБОУ ДО СШ № 2;</w:t>
            </w:r>
          </w:p>
        </w:tc>
      </w:tr>
      <w:tr w:rsidR="0081500D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ия: МБОУ ДО СШ "Водник"; МАОУ ДО СШ "Мещера"; МАОУ ДО "СШ"Новое Поколение"; МБОУ ДО "СШ "Нижегородец"; МБОУ ДО "СШОР по Самбо и Дзюдо"; МБОУ ДО СШ "Сормово" им.Ю.П.Круглова"; МБОУ ДО СШ №3 по Шахматам; МБОУ ДО СШ № 9; МБОУ ДО СШ №12; МБОУ ДО "СШ № 15 по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хматам"; МБОУ ДО СШОР № 7 по Баскетболу; МБОУ ДО СШ "Чайка"; МАОУ ДО "СШ "Радий"; МБОУ ДО "СШ № 1 по Спортивной Гимнастике"; МБОУ ДО СШ "ДС "Заречье"; МБОУ ДО СШ ДС "Северная Звезда"; МБОУ ДО "КСШ№1"; МБОУ ДО КСШ "Надежда"; МБОУ ДО СШ № 2;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-60" w:type="dxa"/>
        <w:tblLayout w:type="fixed"/>
        <w:tblLook w:val="0600"/>
      </w:tblPr>
      <w:tblGrid>
        <w:gridCol w:w="10755"/>
      </w:tblGrid>
      <w:tr w:rsidR="0081500D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 Требования к структуре официального сайта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от 14 августа 2020 года N 831 "Об утверждении Требований к структуре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5"/>
        <w:gridCol w:w="3510"/>
      </w:tblGrid>
      <w:tr w:rsidR="0081500D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(при наличии) наименование образовательной организации. Информация о дате создания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финансово-хозяйственной деятельности образовательной организации или бюджетные сметы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0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5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2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образовательных программах: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0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4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0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организации (при их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4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9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4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3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порядке оказания платных образовательных услуг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7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37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1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для использования инвалидами и лицами с ОВЗ: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11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8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питания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 размещена</w:t>
            </w:r>
          </w:p>
        </w:tc>
      </w:tr>
      <w:tr w:rsidR="0081500D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охраны здоровья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специальных технических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обучения коллективного и индивидуального пользования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условий для беспрепятственного доступа в общежитие, интернат, о количестве жилых помещений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общежитии, интернате, приспособленных для использования инвалидами и лицами с ОВЗ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и планируемые к заключению договоры с иностранными и (или) международными организациями по вопросам образования и науки 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1500D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аккредитация образовательных программ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адрес электронной поч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изацией социальной сферы (наличие анкеты для опроса граждан или гиперссылки на нее).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СТВИИ СТЕНДОВ УСТАНОВЛЕННЫМ ТРЕБОВАНИЯМ В ЧАСТИ РАЗМЕЩЕНИЯ ОБЯЗАТЕЛЬНОЙ ИНФОРМАЦИИ*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40"/>
      </w:tblGrid>
      <w:tr w:rsidR="0081500D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Информация о месте нахождения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 и ее филиалов (при наличии)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режиме, графике работы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контактных телефонах и об адресах электронной почты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структуре и об органах управления образовательной организации (в том числе: наим</w:t>
            </w:r>
            <w:r>
              <w:rPr>
                <w:rFonts w:ascii="Times New Roman" w:eastAsia="Times New Roman" w:hAnsi="Times New Roman" w:cs="Times New Roman"/>
              </w:rPr>
              <w:t>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</w:t>
            </w:r>
            <w:r>
              <w:rPr>
                <w:rFonts w:ascii="Times New Roman" w:eastAsia="Times New Roman" w:hAnsi="Times New Roman" w:cs="Times New Roman"/>
              </w:rPr>
              <w:t>личии); адреса электронной почты структурных подразделений (при наличии)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Лицензии на осуществление образовательной деятельности (с приложениями)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Свидетельства о государственной аккредитации (с приложениями)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Локальные нормативные акты по основным вопр</w:t>
            </w:r>
            <w:r>
              <w:rPr>
                <w:rFonts w:ascii="Times New Roman" w:eastAsia="Times New Roman" w:hAnsi="Times New Roman" w:cs="Times New Roman"/>
              </w:rPr>
              <w:t>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</w:t>
            </w:r>
            <w:r>
              <w:rPr>
                <w:rFonts w:ascii="Times New Roman" w:eastAsia="Times New Roman" w:hAnsi="Times New Roman" w:cs="Times New Roman"/>
              </w:rPr>
              <w:t xml:space="preserve">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</w:t>
            </w:r>
            <w:r>
              <w:rPr>
                <w:rFonts w:ascii="Times New Roman" w:eastAsia="Times New Roman" w:hAnsi="Times New Roman" w:cs="Times New Roman"/>
              </w:rPr>
              <w:t>учающихся.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Правила внутреннего распорядка обучающихся, правила внутреннего трудового распорядка и коллективный договор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Документ о порядке оказания платных образовательных услуг (при наличии), в том числе образец договора об оказании платных образовател</w:t>
            </w:r>
            <w:r>
              <w:rPr>
                <w:rFonts w:ascii="Times New Roman" w:eastAsia="Times New Roman" w:hAnsi="Times New Roman" w:cs="Times New Roman"/>
              </w:rPr>
              <w:t>ьных услуг, документ об утверждении стоимости обучения по каждой образовательной программе*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об учебных планах реализуемых образовательных программ с приложением их копий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руководителе образовательной организации, его заместителях, руководителях филиалов образовательно</w:t>
            </w:r>
            <w:r>
              <w:rPr>
                <w:rFonts w:ascii="Times New Roman" w:eastAsia="Times New Roman" w:hAnsi="Times New Roman" w:cs="Times New Roman"/>
              </w:rPr>
              <w:t>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условиях питания обучающихся, в том чис</w:t>
            </w:r>
            <w:r>
              <w:rPr>
                <w:rFonts w:ascii="Times New Roman" w:eastAsia="Times New Roman" w:hAnsi="Times New Roman" w:cs="Times New Roman"/>
              </w:rPr>
              <w:t>ле инвалидов и лиц с ограниченными возможностями здоровья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условиях предоставления обучающимся стипендий, мер социальной поддержки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порядке оказания платных образовательных услуг (при наличии)*</w:t>
            </w:r>
          </w:p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</w:t>
            </w:r>
            <w:r>
              <w:rPr>
                <w:rFonts w:ascii="Times New Roman" w:eastAsia="Times New Roman" w:hAnsi="Times New Roman" w:cs="Times New Roman"/>
              </w:rPr>
              <w:t xml:space="preserve">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</w:t>
            </w:r>
            <w:r>
              <w:rPr>
                <w:rFonts w:ascii="Times New Roman" w:eastAsia="Times New Roman" w:hAnsi="Times New Roman" w:cs="Times New Roman"/>
              </w:rPr>
              <w:t>стных бюджетов, по договорам об образовании за счет средств физических и (или) юридических лиц)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81500D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3323</w:t>
            </w:r>
          </w:p>
        </w:tc>
      </w:tr>
      <w:tr w:rsidR="0081500D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2743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3087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3108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3013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3028</w:t>
            </w:r>
          </w:p>
        </w:tc>
      </w:tr>
      <w:tr w:rsidR="0081500D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81500D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82,08%</w:t>
            </w:r>
          </w:p>
        </w:tc>
      </w:tr>
      <w:tr w:rsidR="0081500D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82,55%</w:t>
            </w:r>
          </w:p>
        </w:tc>
      </w:tr>
      <w:tr w:rsidR="0081500D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90,00%</w:t>
            </w:r>
          </w:p>
        </w:tc>
      </w:tr>
      <w:tr w:rsidR="0081500D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92,90%</w:t>
            </w:r>
          </w:p>
        </w:tc>
      </w:tr>
      <w:tr w:rsidR="0081500D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93,53%</w:t>
            </w:r>
          </w:p>
        </w:tc>
      </w:tr>
      <w:tr w:rsidR="0081500D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72,68%</w:t>
            </w:r>
          </w:p>
        </w:tc>
      </w:tr>
      <w:tr w:rsidR="0081500D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90,67%</w:t>
            </w:r>
          </w:p>
        </w:tc>
      </w:tr>
      <w:tr w:rsidR="0081500D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91,12%</w:t>
            </w:r>
          </w:p>
        </w:tc>
      </w:tr>
      <w:tr w:rsidR="0081500D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91,57%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1500D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- 27. Среднее значение - 79,89. Максимальное значение (в баллах) - 89,02. Минимальное значение - 67,8.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45"/>
        <w:gridCol w:w="7995"/>
        <w:gridCol w:w="1065"/>
      </w:tblGrid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СШ "ДС "Заречье"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89,02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по Парусному Спорту"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"</w:t>
            </w:r>
            <w:r>
              <w:rPr>
                <w:rFonts w:ascii="Times New Roman" w:eastAsia="Times New Roman" w:hAnsi="Times New Roman" w:cs="Times New Roman"/>
              </w:rPr>
              <w:t>Нижегородец"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86,18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"Чайка"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СШОР №13 по Настольному Теннису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85,16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"Водник"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84,72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№3 по Шахматам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"СШОР № 4 по Волейболу"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83,82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"СШ"Новое Поколение"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</w:t>
            </w:r>
            <w:r>
              <w:rPr>
                <w:rFonts w:ascii="Times New Roman" w:eastAsia="Times New Roman" w:hAnsi="Times New Roman" w:cs="Times New Roman"/>
              </w:rPr>
              <w:t>СШ № 5 по Лыжным Гонкам"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82,70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 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КСШОР №1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82,20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ДС "Северная Звезда"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81,90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КСШ "Надежда"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 17 по Шашкам им. А.Ф. Лазаренко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СШ "Дворец Спорта Юность"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78,24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 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77,52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"КСШ№1"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77,04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СШ "Мещера"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76,96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ДО "СШ "Радий"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75,94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"Олимп"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"СШОР по Самбо и Дзюдо"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№ 1 по Спортивной Гимнастике"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73,50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№12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73,42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"СШ № 15 по Шахматам"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73,08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 "Сормово" им.Ю.П.Круглова"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72,80</w:t>
            </w:r>
          </w:p>
        </w:tc>
      </w:tr>
      <w:tr w:rsidR="0081500D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 СШОР № 7 по Баскетболу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1500D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- 27. Среднее значение - 79,89. Максимальное значение (в баллах) - 89,02. Минимальное значение - 67,8.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1500D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адаптированных лифтов, поручней, расширенных дверных проемов;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1500D" w:rsidRDefault="00815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Организациям в инди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атить внимание и принять меры в отношении следующих показателей независимой оценки качества условий оказания услуг:</w:t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1500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деятельность:санитарное состояние помещен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организации;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с учетом доступности для инвалидов: наличие выделенных стоянок для автотранспортных средств инвалидов;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асширенных дверных проемов;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доступности для инвалидов: наличие сменных кресел-колясок;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ости для инвалидов: наличие специально оборудованных санитарно-гигиенических помещений в организации;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 и зрительной информации;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йля;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 "Водник"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- 84,72; Численность обучающихся - 552; Чобщ - 56; Доля респондентов - 0,1; К1 - 96,4; Пинф - 100; Инорм - 55; Инорм - 16; Истенд - 16; Исайт - 55; Пдист - 100; Тдист - 30; Сдист - 4; Поткруд - 91; Устенд - 51; - 51;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2 - 88; Пкомф.усл - 80; Ткомф - 20; Скомф - 4; Укомф - 54; Пкомфуд - 96; К3 - 52; Поргдост - 20; Торгдост - 20; Соргдост - 1; Пуслугдост - 40; Туслугдост - 20; Суслугдост - 2; Пдостуд - 100; Чинв - 2; Удост - 2; К4 - 92,6; Пперв.конт уд - 95;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53; Показ.услугуд - 93; Уоказ.услуг - 52; Пвежл.дистуд - 87; Увежл.дист - 49; К5 - 94,6; Преком - 93; Уреком - 52; Уорг.усл - 54; Порг.услуд - 96; Ууд - 53; Пуд - 95; Ууд - 53; Пуд - 95.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ДО СШ "Мещера"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- 76,96; Численность обучающихся - 464; Чобщ - 98; Доля респондентов - 0,21; К1 - 89,6; Пинф - 100; Инорм - 55; Инорм - 16; Истенд - 16; Исайт - 55; Пдист - 100; Тдист - 30; Сдист - 4; Поткруд - 74; Устенд - 68; - 77;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К2 - 84; Пкомф.усл - 100; Ткомф - 20; Скомф - 5; Укомф - 67; Пкомфуд - 68; К3 - 30; Поргдост - 0; Торгдост - 20; Соргдост - 0; Пуслугдост - 0; Туслугдост - 20; Суслугдост - 0; Пдостуд - 100; Чинв - 2; Удост - 2; К4 - 86,6; Пперв.конт уд - 92;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90; Показ.услугуд - 96; Уоказ.услуг - 94; Пвежл.дистуд - 57; Увежл.дист - 56; К5 - 94,6; Преком - 96; Уреком - 94; Уорг.усл - 92; Порг.услуд - 94; Ууд - 92; Пуд - 94; Ууд - 92; Пуд - 94.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ция о формах обучения: - да; 19. Информация о нормативных сроках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ДО "СШ"Новое Поколение"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- 83,72; Численность обучающихся - 545; Чобщ - 69; Доля респондентов - 0,13; К1 - 97,2; Пинф - 100; Инорм - 55; Инорм - 16; Истенд - 16; Исайт - 55; Пдист - 100; Тдист - 30; Сдист - 4; Поткруд - 93; Устенд - 67; - 62;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К2 - 68; Пкомф.усл - 40; Ткомф - 20; Скомф - 2; Укомф - 66; Пкомфуд - 96; К3 - 64; Поргдост - 60; Торгдост - 20; Соргдост - 3; Пуслугдост - 40; Туслугдост - 20; Суслугдост - 2; Пдостуд - 100; Чинв - 2; Удост - 2; К4 - 92,4; Пперв.конт уд - 97;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67; Показ.услугуд - 97; Уоказ.услуг - 67; Пвежл.дистуд - 74; Увежл.дист - 51; К5 - 97; Преком - 96; Уреком - 66; Уорг.усл - 66; Порг.услуд - 96; Ууд - 68; Пуд - 98; Ууд - 68; Пуд - 98.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сть: наличие и понятность навигации внутри организации;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"СШ "Нижегородец"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- 86,18; Численность обучающихся - 1097; Чобщ - 362; Доля респондентов - 0,33; К1 - 96,4; Пинф - 100; Инорм - 55; Инорм - 16; Истенд - 16; Исайт - 55; Пдист - 100; Тдист - 30; Сдист - 4; Поткруд - 91; Устенд - 328; - 3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28; К2 - 95,5; Пкомф.усл - 100; Ткомф - 20; Скомф - 5; Укомф - 329; Пкомфуд - 91; К3 - 48; Поргдост - 60; Торгдост - 20; Соргдост - 3; Пуслугдост - 0; Туслугдост - 20; Суслугдост - 0; Пдостуд - 100; Чинв - 7; Удост - 7; К4 - 93,2; Пперв.конт уд - 96;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- 346; Показ.услугуд - 99; Уоказ.услуг - 358; Пвежл.дистуд - 76; Увежл.дист - 274; К5 - 97,8; Преком - 98; Уреком - 356; Уорг.усл - 351; Порг.услуд - 97; Ууд - 356; Пуд - 98; Ууд - 356; Пуд - 98.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торым обеспечивается доступ обучающихся: - да; 39. Информация о наличии и условиях предоставления обучающимся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ДО СШ "Дворец Спорта Юность"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- 78,24; Численность обучающихся - 1689; Чобщ - 230; Доля респондентов - 0,14; К1 - 88,8; Пинф - 100; Инорм - 55; Инорм - 16; Истенд - 16; Исайт - 55; Пдист - 100; Тдист - 30; Сдист - 4; Поткруд - 72; Устенд - 168;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62; К2 - 88; Пкомф.усл - 100; Ткомф - 20; Скомф - 5; Укомф - 174; Пкомфуд - 76; К3 - 46,9; Поргдост - 20; Торгдост - 20; Соргдост - 1; Пуслугдост - 40; Туслугдост - 20; Суслугдост - 2; Пдостуд - 83; Чинв - 5; Удост - 6; К4 - 86,6; Пперв.конт уд - 90;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- 207; Показ.услугуд - 91; Уоказ.услуг - 210; Пвежл.дистуд - 71; Увежл.дист - 164; К5 - 80,9; Преком - 76; Уреком - 176; Уорг.усл - 192; Порг.услуд - 83; Ууд - 192; Пуд - 83; Ууд - 192; Пуд - 83.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подразделениях (об органах управления) с приложением копий указанных положений (при 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Я: МБОУ ДО "СШОР по Самбо и Дзюдо"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- 75,42; Численность обучающихся - 369; Чобщ - 89; Доля респондентов - 0,24; К1 - 88,8; Пинф - 100; Инорм - 55; Инорм - 16; Истенд - 16; Исайт - 55; Пдист - 100; Тдист - 30; Сдист - 4; Поткруд - 72; Устенд - 63; - 65;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К2 - 85; Пкомф.усл - 100; Ткомф - 20; Скомф - 5; Укомф - 62; Пкомфуд - 70; К3 - 30; Поргдост - 0; Торгдост - 20; Соргдост - 0; Пуслугдост - 0; Туслугдост - 20; Суслугдост - 0; Пдостуд - 100; Чинв - 2; Удост - 2; К4 - 87,4; Пперв.конт уд - 95;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85; Показ.услугуд - 93; Уоказ.услуг - 83; Пвежл.дистуд - 61; Увежл.дист - 54; К5 - 85,9; Преком - 83; Уреком - 74; Уорг.усл - 80; Порг.услуд - 90; Ууд - 77; Пуд - 86; Ууд - 77; Пуд - 86.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 "Сормово" им.Ю.П.Круглова"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- 72,8; Численность обучающихся - 1442; Чобщ - 155; Доля респондентов - 0,11; К1 - 86,4; Пинф - 100; Инорм - 55; Инорм - 16; Истенд - 16; Исайт - 55; Пдист - 100; Тдист - 30; Сдист - 4; Поткруд - 66; Устенд - 102; - 10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2; К2 - 66; Пкомф.усл - 60; Ткомф - 20; Скомф - 3; Укомф - 111; Пкомфуд - 72; К3 - 46,5; Поргдост - 80; Торгдост - 20; Соргдост - 4; Пуслугдост - 0; Туслугдост - 20; Суслугдост - 0; Пдостуд - 75; Чинв - 3; Удост - 4; К4 - 82,2; Пперв.конт уд - 88;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- 136; Показ.услугуд - 87; Уоказ.услуг - 135; Пвежл.дистуд - 61; Увежл.дист - 94; К5 - 82,9; Преком - 81; Уреком - 125; Уорг.усл - 137; Порг.услуд - 88; Ууд - 127; Пуд - 82; Ууд - 127; Пуд - 82.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реализуемых образовательных программах: - да; 27. Информация о численности обучающихся : - да; 28. Информация о языках, на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 №3 по Шахматам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- 285; Чобщ - 41; Доля респондентов - 0,14; К1 - 95,6; Пинф - 100; Инорм - 55; Инорм - 16; Истенд - 16; Исайт - 55; Пдист - 100; Тдист - 30; Сдист - 4; Поткруд - 89; Устенд - 37; - 36;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2 - 85; Пкомф.усл - 80; Ткомф - 20; Скомф - 4; Укомф - 37; Пкомфуд - 90; К3 - 50; Поргдост - 40; Торгдост - 20; Соргдост - 2; Пуслугдост - 20; Туслугдост - 20; Суслугдост - 1; Пдостуд - 100; Чинв - 3; Удост - 3; К4 - 94; Пперв.конт уд - 98; Уперв.конт - 40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Показ.услугуд - 98; Уоказ.услуг - 40; Пвежл.дистуд - 78; Увежл.дист - 32; К5 - 97,4; Преком - 98; Уреком - 40; Уорг.усл - 39; Порг.услуд - 95; Ууд - 40; Пуд - 98; Ууд - 40; Пуд - 98.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инвалидам по слуху (слуху и зрению) услуг сурдопереводчика (тифлосурдопереводчика) - нет; наличие альтернативной версии сайта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инвалидов по зрению - да;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МАОУ ДО "СШОР № 4 по Волейболу"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- 83,82; Численность обучающихся - 733; Чобщ - 101; Доля респондентов - 0,14; К1 - 97,6; Пинф - 100; Инорм - 55; Инорм - 16; Истенд - 16; Исайт - 55; Пдист - 100; Тдист - 30; Сдист - 4; Поткруд - 94; Устенд - 95; - 95;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К2 - 98; Пкомф.усл - 100; Ткомф - 20; Скомф - 5; Укомф - 97; Пкомфуд - 96; К3 - 37; Поргдост - 20; Торгдост - 20; Соргдост - 1; Пуслугдост - 40; Туслугдост - 20; Суслугдост - 2; Пдостуд - 50; Чинв - 1; Удост - 2; К4 - 91,2; Пперв.конт уд - 95;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- 96; Показ.услугуд - 96; Уоказ.услуг - 97; Пвежл.дистуд - 74; Увежл.дист - 75; К5 - 95,3; Преком - 96; Уреком - 97; Уорг.усл - 96; Порг.услуд - 95; Ууд - 96; Пуд - 95; Ууд - 96; Пуд - 95.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ступе к приспособленным для использования инвалидами и лицами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"СШ № 5 по Лыжным Гонкам"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- 82,7; Численность обучающихся - 224; Чобщ - 59; Доля респондентов - 0,26; К1 - 94,4; Пинф - 100; Инорм - 55; Инорм - 16; Истенд - 16; Исайт - 55; Пдист - 100; Тдист - 30; Сдист - 4; Поткруд - 86; Устенд - 51; - 50;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2 - 91,5; Пкомф.усл - 100; Ткомф - 20; Скомф - 5; Укомф - 49; Пкомфуд - 83; К3 - 52; Поргдост - 20; Торгдост - 20; Соргдост - 1; Пуслугдост - 40; Туслугдост - 20; Суслугдост - 2; Пдостуд - 100; Чинв - 3; Удост - 3; К4 - 86; Пперв.конт уд - 85;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50; Показ.услугуд - 86; Уоказ.услуг - 51; Пвежл.дистуд - 88; Увежл.дист - 52; К5 - 89,6; Преком - 88; Уреком - 52; Уорг.усл - 54; Порг.услуд - 91; Ууд - 53; Пуд - 90; Ууд - 53; Пуд - 90.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ция о формах обучения: - да; 19. Информация о нормативных сроках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8628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Я: МБОУ ДО СШ № 9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- 82,36; Численность обучающихся - 449; Чобщ - 113; Доля респондентов - 0,25; К1 - 96; Пинф - 100; Инорм - 55; Инорм - 16; Истенд - 16; Исайт - 55; Пдист - 100; Тдист - 30; Сдист - 4; Поткруд - 90; Устенд - 98; - 105;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К2 - 85; Пкомф.усл - 80; Ткомф - 20; Скомф - 4; Укомф - 102; Пкомфуд - 90; К3 - 38; Поргдост - 0; Торгдост - 20; Соргдост - 0; Пуслугдост - 20; Туслугдост - 20; Суслугдост - 1; Пдостуд - 100; Чинв - 2; Удост - 2; К4 - 95; Пперв.конт уд - 99; Уперв.конт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12; Показ.услугуд - 98; Уоказ.услуг - 111; Пвежл.дистуд - 81; Увежл.дист - 92; К5 - 97,8; Преком - 98; Уреком - 111; Уорг.усл - 110; Порг.услуд - 97; Ууд - 111; Пуд - 98; Ууд - 111; Пуд - 98.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 №12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- 73,42; Численность обучающихся - 426; Чобщ - 43; Доля респондентов - 0,1; К1 - 95,2; Пинф - 100; Инорм - 55; Инорм - 16; Истенд - 16; Исайт - 55; Пдист - 100; Тдист - 30; Сдист - 4; Поткруд - 88; Устенд - 38; - 38;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2 - 69,5; Пкомф.усл - 60; Ткомф - 20; Скомф - 3; Укомф - 34; Пкомфуд - 79; К3 - 30; Поргдост - 0; Торгдост - 20; Соргдост - 0; Пуслугдост - 0; Туслугдост - 20; Суслугдост - 0; Пдостуд - 100; Чинв - 2; Удост - 2; К4 - 86,4; Пперв.конт уд - 88;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38; Показ.услугуд - 84; Уоказ.услуг - 36; Пвежл.дистуд - 88; Увежл.дист - 38; К5 - 86; Преком - 84; Уреком - 36; Уорг.усл - 36; Порг.услуд - 84; Ууд - 38; Пуд - 88; Ууд - 38; Пуд - 88.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СШОР №13 по Настольному Теннису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- 85,16; Численность обучающихся - 303; Чобщ - 70; Доля респондентов - 0,23; К1 - 96,8; Пинф - 100; Инорм - 55; Инорм - 16; Истенд - 16; Исайт - 55; Пдист - 100; Тдист - 30; Сдист - 4; Поткруд - 92; Устенд - 67; - 62;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К2 - 93,5; Пкомф.усл - 100; Ткомф - 20; Скомф - 5; Укомф - 61; Пкомфуд - 87; К3 - 52; Поргдост - 20; Торгдост - 20; Соргдост - 1; Пуслугдост - 40; Туслугдост - 20; Суслугдост - 2; Пдостуд - 100; Чинв - 2; Удост - 2; К4 - 91; Пперв.конт уд - 96;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- 67; Показ.услугуд - 96; Уоказ.услуг - 67; Пвежл.дистуд - 71; Увежл.дист - 50; К5 - 92,5; Преком - 94; Уреком - 66; Уорг.усл - 66; Порг.услуд - 94; Ууд - 64; Пуд - 91; Ууд - 64; Пуд - 91.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Я: МБОУ ДО "СШ № 15 по Шахматам"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- 73,08; Численность обучающихся - 498; Чобщ - 57; Доля респондентов - 0,11; К1 - 89,6; Пинф - 100; Инорм - 55; Инорм - 16; Истенд - 16; Исайт - 55; Пдист - 100; Тдист - 30; Сдист - 4; Поткруд - 74; Устенд - 43; - 41;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К2 - 78,5; Пкомф.усл - 80; Ткомф - 20; Скомф - 4; Укомф - 44; Пкомфуд - 77; К3 - 30; Поргдост - 0; Торгдост - 20; Соргдост - 0; Пуслугдост - 0; Туслугдост - 20; Суслугдост - 0; Пдостуд - 100; Чинв - 2; Удост - 2; К4 - 85,4; Пперв.конт уд - 84;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48; Показ.услугуд - 91; Уоказ.услуг - 52; Пвежл.дистуд - 77; Увежл.дист - 44; К5 - 81,9; Преком - 82; Уреком - 47; Уорг.усл - 48; Порг.услуд - 84; Ууд - 46; Пуд - 81; Ууд - 46; Пуд - 81.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доступе к приспособленным для использования инвалидами и лицами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СШОР № 7 по Баскетболу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- 67,8; Численность обучающихся - 302; Чобщ - 43; Доля респондентов - 0,14; К1 - 94,8; Пинф - 100; Инорм - 55; Инорм - 16; Истенд - 16; Исайт - 55; Пдист - 100; Тдист - 30; Сдист - 4; Поткруд - 87; Устенд - 38; - 37;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2 - 43; Пкомф.усл - 0; Ткомф - 20; Скомф - 0; Укомф - 37; Пкомфуд - 86; К3 - 30; Поргдост - 0; Торгдост - 20; Соргдост - 0; Пуслугдост - 0; Туслугдост - 20; Суслугдост - 0; Пдостуд - 100; Чинв - 1; Удост - 1; К4 - 85,6; Пперв.конт уд - 86; Уперв.конт - 37;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Показ.услугуд - 86; Уоказ.услуг - 37; Пвежл.дистуд - 84; Увежл.дист - 36; К5 - 85,6; Преком - 86; Уреком - 37; Уорг.усл - 36; Порг.услуд - 84; Ууд - 37; Пуд - 86; Ууд - 37; Пуд - 86.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ения образовательной деятельности: - да; 13. Правила внутреннего распорядка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 "Чайка"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- 85,28; Численность обучающихся - 559; Чобщ - 240; Доля респондентов - 0,43; К1 - 93,6; Пинф - 100; Инорм - 55; Инорм - 16; Истенд - 16; Исайт - 55; Пдист - 100; Тдист - 30; Сдист - 4; Поткруд - 84; Устенд - 211; - 19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- 96; Пкомф.усл - 100; Ткомф - 20; Скомф - 5; Укомф - 222; Пкомфуд - 92; К3 - 48; Поргдост - 60; Торгдост - 20; Соргдост - 3; Пуслугдост - 0; Туслугдост - 20; Суслугдост - 0; Пдостуд - 100; Чинв - 7; Удост - 7; К4 - 92,6; Пперв.конт уд - 98;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- 235; Показ.услугуд - 97; Уоказ.услуг - 234; Пвежл.дистуд - 73; Увежл.дист - 176; К5 - 96,2; Преком - 98; Уреком - 235; Уорг.усл - 226; Порг.услуд - 94; Ууд - 230; Пуд - 96; Ууд - 230; Пуд - 96.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ДО "СШ "Радий"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- 75,94; Численность обучающихся - 2109; Чобщ - 239; Доля респондентов - 0,11; К1 - 87,2; Пинф - 100; Инорм - 55; Инорм - 16; Истенд - 16; Исайт - 55; Пдист - 100; Тдист - 30; Сдист - 4; Поткруд - 68; Устенд - 166;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61; К2 - 74,5; Пкомф.усл - 80; Ткомф - 20; Скомф - 4; Укомф - 164; Пкомфуд - 69; К3 - 54,1; Поргдост - 60; Торгдост - 20; Соргдост - 3; Пуслугдост - 40; Туслугдост - 20; Суслугдост - 2; Пдостуд - 67; Чинв - 4; Удост - 6; К4 - 81,8; Пперв.конт уд - 87;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- 208; Показ.услугуд - 88; Уоказ.услуг - 211; Пвежл.дистуд - 59; Увежл.дист - 142; К5 - 82,1; Преком - 80; Уреком - 192; Уорг.усл - 199; Порг.услуд - 83; Ууд - 199; Пуд - 83; Ууд - 199; Пуд - 83.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реализуемых образовательных программах: - да; 27. Информация о численности обучающихся : - да; 28. Информация о языках, на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ИДУАЛЬНЫЕ РЕЗУЛЬТАТЫ. ОРГАНИЗАЦИЯ: МБОУ ДО "СШ по Парусному Спорту"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- 87,78; Численность обучающихся - 192; Чобщ - 142; Доля респондентов - 0,74; К1 - 96,4; Пинф - 100; Инорм - 55; Инорм - 16; Истенд - 16; Исайт - 55; Пдист - 100; Тдист - 30; Сдист - 4; Поткруд - 91; Устенд - 133; - 12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7; К2 - 97; Пкомф.усл - 100; Ткомф - 20; Скомф - 5; Укомф - 133; Пкомфуд - 94; К3 - 52; Поргдост - 20; Торгдост - 20; Соргдост - 1; Пуслугдост - 40; Туслугдост - 20; Суслугдост - 2; Пдостуд - 100; Чинв - 3; Удост - 3; К4 - 95,6; Пперв.конт уд - 99;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- 140; Показ.услугуд - 99; Уоказ.услуг - 140; Пвежл.дистуд - 82; Увежл.дист - 116; К5 - 97,9; Преком - 99; Уреком - 141; Уорг.усл - 137; Порг.услуд - 96; Ууд - 139; Пуд - 98; Ууд - 139; Пуд - 98.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Я: МБОУ ДО СШ "Олимп"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- 75,68; Численность обучающихся - 311; Чобщ - 34; Доля респондентов - 0,11; К1 - 93,6; Пинф - 100; Инорм - 55; Инорм - 16; Истенд - 16; Исайт - 55; Пдист - 100; Тдист - 30; Сдист - 4; Поткруд - 84; Устенд - 30; - 27;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К2 - 89,5; Пкомф.усл - 100; Ткомф - 20; Скомф - 5; Укомф - 27; Пкомфуд - 79; К3 - 31,9; Поргдост - 20; Торгдост - 20; Соргдост - 1; Пуслугдост - 40; Туслугдост - 20; Суслугдост - 2; Пдостуд - 33; Чинв - 1; Удост - 3; К4 - 82; Пперв.конт уд - 76;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Показ.услугуд - 88; Уоказ.услуг - 30; Пвежл.дистуд - 82; Увежл.дист - 28; К5 - 81,4; Преком - 85; Уреком - 29; Уорг.усл - 28; Порг.услуд - 82; Ууд - 27; Пуд - 79; Ууд - 27; Пуд - 79.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ступе к приспособленным для использования инвалидами и лицами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"СШ № 1 по Спортивной Гимнастике"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- 73,5; Численность обучающихся - 480; Чобщ - 94; Доля респондентов - 0,2; К1 - 93,2; Пинф - 100; Инорм - 55; Инорм - 16; Истенд - 16; Исайт - 55; Пдист - 100; Тдист - 30; Сдист - 4; Поткруд - 83; Устенд - 77; - 79;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- 45; Пкомф.усл - 0; Ткомф - 20; Скомф - 0; Укомф - 85; Пкомфуд - 90; К3 - 46; Поргдост - 0; Торгдост - 20; Соргдост - 0; Пуслугдост - 40; Туслугдост - 20; Суслугдост - 2; Пдостуд - 100; Чинв - 4; Удост - 4; К4 - 90; Пперв.конт уд - 94; Уперв.конт - 88;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оказ.услугуд - 94; Уоказ.услуг - 88; Пвежл.дистуд - 74; Увежл.дист - 70; К5 - 93,3; Преком - 92; Уреком - 87; Уорг.усл - 86; Порг.услуд - 91; Ууд - 89; Пуд - 95; Ууд - 89; Пуд - 95.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ция о формах обучения: - да; 19. Информация о нормативных сроках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 "ДС "Заречье"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- 89,02; Численность обучающихся - 1885; Чобщ - 244; Доля респондентов - 0,13; К1 - 94,8; Пинф - 100; Инорм - 55; Инорм - 16; Истенд - 16; Исайт - 55; Пдист - 100; Тдист - 30; Сдист - 4; Поткруд - 87; Устенд - 217; - 2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09; К2 - 85,5; Пкомф.усл - 80; Ткомф - 20; Скомф - 4; Укомф - 221; Пкомфуд - 91; К3 - 78; Поргдост - 80; Торгдост - 20; Соргдост - 4; Пуслугдост - 60; Туслугдост - 20; Суслугдост - 3; Пдостуд - 100; Чинв - 5; Удост - 5; К4 - 92; Пперв.конт уд - 97;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- 237; Показ.услугуд - 96; Уоказ.услуг - 234; Пвежл.дистуд - 74; Увежл.дист - 181; К5 - 94,8; Преком - 96; Уреком - 235; Уорг.усл - 232; Порг.услуд - 95; Ууд - 230; Пуд - 94; Ууд - 230; Пуд - 94.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КСШОР №1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- 82,2; Численность обучающихся - 475; Чобщ - 51; Доля респондентов - 0,11; К1 - 93,6; Пинф - 100; Инорм - 55; Инорм - 16; Истенд - 16; Исайт - 55; Пдист - 100; Тдист - 30; Сдист - 4; Поткруд - 84; Устенд - 44; - 42;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2 - 94; Пкомф.усл - 100; Ткомф - 20; Скомф - 5; Укомф - 45; Пкомфуд - 88; К3 - 52; Поргдост - 20; Торгдост - 20; Соргдост - 1; Пуслугдост - 40; Туслугдост - 20; Суслугдост - 2; Пдостуд - 100; Чинв - 3; Удост - 3; К4 - 83,6; Пперв.конт уд - 88;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45; Показ.услугуд - 80; Уоказ.услуг - 41; Пвежл.дистуд - 82; Увежл.дист - 42; К5 - 87,8; Преком - 84; Уреком - 43; Уорг.усл - 45; Порг.услуд - 88; Ууд - 46; Пуд - 90; Ууд - 46; Пуд - 90.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Я: МБОУ ДО СШ ДС "Северная Звезда"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- 81,9; Численность обучающихся - 2051; Чобщ - 253; Доля респондентов - 0,12; К1 - 89,2; Пинф - 100; Инорм - 55; Инорм - 16; Истенд - 16; Исайт - 55; Пдист - 100; Тдист - 30; Сдист - 4; Поткруд - 73; Устенд - 172; - 19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6; К2 - 75,5; Пкомф.усл - 80; Ткомф - 20; Скомф - 4; Укомф - 179; Пкомфуд - 71; К3 - 70,9; Поргдост - 100; Торгдост - 20; Соргдост - 5; Пуслугдост - 40; Туслугдост - 20; Суслугдост - 2; Пдостуд - 83; Чинв - 5; Удост - 6; К4 - 86,8; Пперв.конт уд - 88;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- 224; Показ.услугуд - 90; Уоказ.услуг - 228; Пвежл.дистуд - 78; Увежл.дист - 198; К5 - 87,1; Преком - 84; Уреком - 213; Уорг.усл - 220; Порг.услуд - 87; Ууд - 225; Пуд - 89; Ууд - 225; Пуд - 89.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подразделениях (об органах управления) с приложением копий указанных положений (при 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условий доступности, позволяющих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"КСШ№1"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- 77,04; Численность обучающихся - 269; Чобщ - 82; Доля респондентов - 0,3; К1 - 97,6; Пинф - 100; Инорм - 55; Инорм - 16; Истенд - 16; Исайт - 55; Пдист - 100; Тдист - 30; Сдист - 4; Поткруд - 94; Устенд - 77; - 77;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2 - 54,5; Пкомф.усл - 20; Ткомф - 20; Скомф - 1; Укомф - 73; Пкомфуд - 89; К3 - 44; Поргдост - 20; Торгдост - 20; Соргдост - 1; Пуслугдост - 20; Туслугдост - 20; Суслугдост - 1; Пдостуд - 100; Чинв - 2; Удост - 2; К4 - 91; Пперв.конт уд - 96;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79; Показ.услугуд - 98; Уоказ.услуг - 80; Пвежл.дистуд - 67; Увежл.дист - 55; К5 - 98,1; Преком - 96; Уреком - 79; Уорг.усл - 81; Порг.услуд - 99; Ууд - 81; Пуд - 99; Ууд - 81; Пуд - 99.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сть: наличие и понятность навигации внутри организации;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ЛЬТАТЫ. ОРГАНИЗАЦИЯ: МБОУ ДО КСШ "Надежда"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- 80,26; Численность обучающихся - 502; Чобщ - 52; Доля респондентов - 0,1; К1 - 92; Пинф - 100; Инорм - 55; Инорм - 16; Истенд - 16; Исайт - 55; Пдист - 100; Тдист - 30; Сдист - 4; Поткруд - 80; Устенд - 41; - 42;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- 81,5; Пкомф.усл - 80; Ткомф - 20; Скомф - 4; Укомф - 43; Пкомфуд - 83; К3 - 58; Поргдост - 40; Торгдост - 20; Соргдост - 2; Пуслугдост - 40; Туслугдост - 20; Суслугдост - 2; Пдостуд - 100; Чинв - 2; Удост - 2; К4 - 84,8; Пперв.конт уд - 90;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47; Показ.услугуд - 92; Уоказ.услуг - 48; Пвежл.дистуд - 60; Увежл.дист - 31; К5 - 85; Преком - 85; Уреком - 44; Уорг.усл - 47; Порг.услуд - 90; Ууд - 43; Пуд - 83; Ууд - 43; Пуд - 83.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ограммы, дополнительно указывают наименование образовательной программы*: - да; 30. Уровень образования: - да; 31. 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ДО СШ № 17 по Шашкам им. А.Ф. Лазаренко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- 80,24; Численность обучающихся - 318; Чобщ - 41; Доля респондентов - 0,13; К1 - 90,8; Пинф - 100; Инорм - 55; Инорм - 16; Истенд - 16; Исайт - 55; Пдист - 100; Тдист - 30; Сдист - 4; Поткруд - 77; Устенд - 33; - 30;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К2 - 90; Пкомф.усл - 100; Ткомф - 20; Скомф - 5; Укомф - 33; Пкомфуд - 80; К3 - 52; Поргдост - 20; Торгдост - 20; Соргдост - 1; Пуслугдост - 40; Туслугдост - 20; Суслугдост - 2; Пдостуд - 100; Чинв - 1; Удост - 1; К4 - 80,4; Пперв.конт уд - 83;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- 34; Показ.услугуд - 85; Уоказ.услуг - 35; Пвежл.дистуд - 66; Увежл.дист - 27; К5 - 88; Преком - 88; Уреком - 36; Уорг.усл - 36; Порг.услуд - 88; Ууд - 36; Пуд - 88; Ууд - 36; Пуд - 88.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Я: МБОУ ДО СШ № 2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- 77,52; Численность обучающихся - 401; Чобщ - 265; Доля респондентов - 0,66; К1 - 93,6; Пинф - 100; Инорм - 55; Инорм - 16; Истенд - 16; Исайт - 55; Пдист - 100; Тдист - 30; Сдист - 4; Поткруд - 84; Устенд - 208; - 24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0; К2 - 86,5; Пкомф.усл - 100; Ткомф - 20; Скомф - 5; Укомф - 194; Пкомфуд - 73; К3 - 24,9; Поргдост - 0; Торгдост - 20; Соргдост - 0; Пуслугдост - 0; Туслугдост - 20; Суслугдост - 0; Пдостуд - 83; Чинв - 5; Удост - 6; К4 - 89,8; Пперв.конт уд - 95;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- 252; Показ.услугуд - 94; Уоказ.услуг - 249; Пвежл.дистуд - 71; Увежл.дист - 188; К5 - 92,8; Преком - 94; Уреком - 250; Уорг.усл - 234; Порг.услуд - 88; Ууд - 248; Пуд - 94; Ууд - 248; Пуд - 94. Сокращения и пояснения приведены на странице 2.</w:t>
            </w:r>
          </w:p>
        </w:tc>
      </w:tr>
    </w:tbl>
    <w:p w:rsidR="0081500D" w:rsidRDefault="0081500D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нет.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ступе к приспособленным для использования инвалидами и лицами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1500D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500D" w:rsidRDefault="0088628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дации вносятся и утверждаются Общественным советом.</w:t>
            </w:r>
          </w:p>
        </w:tc>
      </w:tr>
    </w:tbl>
    <w:p w:rsidR="0081500D" w:rsidRDefault="0081500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1500D" w:rsidSect="0081500D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82" w:rsidRDefault="00886282" w:rsidP="0081500D">
      <w:pPr>
        <w:spacing w:line="240" w:lineRule="auto"/>
      </w:pPr>
      <w:r>
        <w:separator/>
      </w:r>
    </w:p>
  </w:endnote>
  <w:endnote w:type="continuationSeparator" w:id="0">
    <w:p w:rsidR="00886282" w:rsidRDefault="00886282" w:rsidP="0081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0D" w:rsidRDefault="0081500D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1500D" w:rsidRDefault="0081500D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1500D" w:rsidRDefault="0081500D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82" w:rsidRDefault="00886282" w:rsidP="0081500D">
      <w:pPr>
        <w:spacing w:line="240" w:lineRule="auto"/>
      </w:pPr>
      <w:r>
        <w:separator/>
      </w:r>
    </w:p>
  </w:footnote>
  <w:footnote w:type="continuationSeparator" w:id="0">
    <w:p w:rsidR="00886282" w:rsidRDefault="00886282" w:rsidP="008150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0D" w:rsidRDefault="00886282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81500D" w:rsidRDefault="0081500D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02C"/>
    <w:multiLevelType w:val="multilevel"/>
    <w:tmpl w:val="4A5E8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0D"/>
    <w:rsid w:val="0081500D"/>
    <w:rsid w:val="00886282"/>
    <w:rsid w:val="00B9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150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0D"/>
  </w:style>
  <w:style w:type="table" w:customStyle="1" w:styleId="TableNormal">
    <w:name w:val="Table Normal"/>
    <w:rsid w:val="00815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15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B91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B91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47442</Words>
  <Characters>270420</Characters>
  <Application>Microsoft Office Word</Application>
  <DocSecurity>0</DocSecurity>
  <Lines>2253</Lines>
  <Paragraphs>634</Paragraphs>
  <ScaleCrop>false</ScaleCrop>
  <Company/>
  <LinksUpToDate>false</LinksUpToDate>
  <CharactersWithSpaces>317228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Пользователь Windows</cp:lastModifiedBy>
  <cp:revision>2</cp:revision>
  <dcterms:created xsi:type="dcterms:W3CDTF">2023-12-21T06:11:00Z</dcterms:created>
  <dcterms:modified xsi:type="dcterms:W3CDTF">2023-12-21T06:11:00Z</dcterms:modified>
</cp:coreProperties>
</file>